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方正小标宋_GBK"/>
          <w:color w:val="000000"/>
          <w:sz w:val="40"/>
          <w:szCs w:val="40"/>
        </w:rPr>
      </w:pPr>
      <w:r>
        <w:rPr>
          <w:rFonts w:hint="eastAsia" w:ascii="Times New Roman" w:hAnsi="Times New Roman" w:eastAsia="方正小标宋_GBK"/>
          <w:color w:val="000000"/>
          <w:sz w:val="40"/>
          <w:szCs w:val="40"/>
        </w:rPr>
        <w:t>非国有文物收藏单位借用县级</w:t>
      </w:r>
    </w:p>
    <w:p>
      <w:pPr>
        <w:jc w:val="center"/>
        <w:rPr>
          <w:rFonts w:hint="eastAsia" w:ascii="Times New Roman" w:hAnsi="Times New Roman" w:eastAsia="方正小标宋_GBK"/>
          <w:color w:val="000000"/>
          <w:sz w:val="40"/>
          <w:szCs w:val="40"/>
        </w:rPr>
      </w:pPr>
      <w:r>
        <w:rPr>
          <w:rFonts w:hint="eastAsia" w:ascii="Times New Roman" w:hAnsi="Times New Roman" w:eastAsia="方正小标宋_GBK"/>
          <w:color w:val="000000"/>
          <w:sz w:val="40"/>
          <w:szCs w:val="40"/>
        </w:rPr>
        <w:t>文物部门主管的国有馆藏二级及以下文物审批</w:t>
      </w:r>
    </w:p>
    <w:p>
      <w:pPr>
        <w:pStyle w:val="4"/>
        <w:rPr>
          <w:rFonts w:hint="eastAsia" w:ascii="方正仿宋_GBK" w:hAnsi="方正仿宋_GBK" w:eastAsia="方正仿宋_GBK" w:cs="方正仿宋_GBK"/>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非国有文物收藏单位和其他单位借用国有藏馆文物审批【</w:t>
      </w:r>
      <w:r>
        <w:rPr>
          <w:rFonts w:hint="default" w:ascii="Times New Roman" w:hAnsi="Times New Roman" w:cs="Times New Roman"/>
          <w:sz w:val="32"/>
          <w:szCs w:val="32"/>
        </w:rPr>
        <w:t>00016811600Y</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非国有文物收藏单位和其他单位借用县级文物部门主管的国有馆藏二级及以下文物审批【</w:t>
      </w:r>
      <w:r>
        <w:rPr>
          <w:rFonts w:hint="default" w:ascii="Times New Roman" w:hAnsi="Times New Roman" w:eastAsia="宋体" w:cs="Times New Roman"/>
          <w:kern w:val="2"/>
          <w:sz w:val="32"/>
          <w:szCs w:val="32"/>
          <w:lang w:val="en-US" w:eastAsia="zh-CN" w:bidi="ar-SA"/>
        </w:rPr>
        <w:t>000168116004</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pPr>
        <w:pStyle w:val="4"/>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sz w:val="32"/>
          <w:szCs w:val="32"/>
          <w:lang w:val="en-US" w:eastAsia="zh-CN"/>
        </w:rPr>
        <w:t>非国有文物收藏单位借用县级文物部门主管的国有馆藏二级及以下文物审批【</w:t>
      </w:r>
      <w:r>
        <w:rPr>
          <w:rFonts w:hint="default" w:ascii="Times New Roman" w:hAnsi="Times New Roman" w:eastAsia="宋体" w:cs="Times New Roman"/>
          <w:kern w:val="2"/>
          <w:sz w:val="32"/>
          <w:szCs w:val="32"/>
          <w:lang w:val="en-US" w:eastAsia="zh-CN" w:bidi="ar-SA"/>
        </w:rPr>
        <w:t>00016811600401</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kern w:val="2"/>
          <w:sz w:val="32"/>
          <w:szCs w:val="32"/>
          <w:lang w:val="en-US" w:eastAsia="zh-CN" w:bidi="ar-SA"/>
        </w:rPr>
        <w:t>《中华人民共和国文物保护法》第四十条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《中华人民共和国文物保护法》第</w:t>
      </w:r>
      <w:r>
        <w:rPr>
          <w:rFonts w:hint="eastAsia" w:ascii="Times New Roman" w:hAnsi="Times New Roman" w:eastAsia="方正仿宋_GBK" w:cs="Times New Roman"/>
          <w:strike w:val="0"/>
          <w:dstrike w:val="0"/>
          <w:color w:val="auto"/>
          <w:kern w:val="2"/>
          <w:sz w:val="32"/>
          <w:szCs w:val="32"/>
          <w:lang w:val="en-US" w:eastAsia="zh-CN" w:bidi="ar-SA"/>
        </w:rPr>
        <w:t>四十</w:t>
      </w:r>
      <w:r>
        <w:rPr>
          <w:rFonts w:hint="default" w:ascii="Times New Roman" w:hAnsi="Times New Roman" w:eastAsia="方正仿宋_GBK" w:cs="Times New Roman"/>
          <w:strike w:val="0"/>
          <w:dstrike w:val="0"/>
          <w:color w:val="auto"/>
          <w:kern w:val="2"/>
          <w:sz w:val="32"/>
          <w:szCs w:val="32"/>
          <w:lang w:val="en-US" w:eastAsia="zh-CN" w:bidi="ar-SA"/>
        </w:rPr>
        <w:t>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《中华人民共和国文物保护法》第</w:t>
      </w:r>
      <w:r>
        <w:rPr>
          <w:rFonts w:hint="eastAsia" w:ascii="Times New Roman" w:hAnsi="Times New Roman" w:eastAsia="方正仿宋_GBK" w:cs="Times New Roman"/>
          <w:strike w:val="0"/>
          <w:dstrike w:val="0"/>
          <w:color w:val="auto"/>
          <w:kern w:val="2"/>
          <w:sz w:val="32"/>
          <w:szCs w:val="32"/>
          <w:lang w:val="en-US" w:eastAsia="zh-CN" w:bidi="ar-SA"/>
        </w:rPr>
        <w:t>七十</w:t>
      </w:r>
      <w:r>
        <w:rPr>
          <w:rFonts w:hint="default" w:ascii="Times New Roman" w:hAnsi="Times New Roman" w:eastAsia="方正仿宋_GBK" w:cs="Times New Roman"/>
          <w:strike w:val="0"/>
          <w:dstrike w:val="0"/>
          <w:color w:val="auto"/>
          <w:kern w:val="2"/>
          <w:sz w:val="32"/>
          <w:szCs w:val="32"/>
          <w:lang w:val="en-US" w:eastAsia="zh-CN" w:bidi="ar-SA"/>
        </w:rPr>
        <w:t>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《中华人民共和国文物保护法》第</w:t>
      </w:r>
      <w:r>
        <w:rPr>
          <w:rFonts w:hint="eastAsia" w:ascii="Times New Roman" w:hAnsi="Times New Roman" w:eastAsia="方正仿宋_GBK" w:cs="Times New Roman"/>
          <w:strike w:val="0"/>
          <w:dstrike w:val="0"/>
          <w:color w:val="auto"/>
          <w:kern w:val="2"/>
          <w:sz w:val="32"/>
          <w:szCs w:val="32"/>
          <w:lang w:val="en-US" w:eastAsia="zh-CN" w:bidi="ar-SA"/>
        </w:rPr>
        <w:t>七十六</w:t>
      </w:r>
      <w:r>
        <w:rPr>
          <w:rFonts w:hint="default" w:ascii="Times New Roman" w:hAnsi="Times New Roman" w:eastAsia="方正仿宋_GBK" w:cs="Times New Roman"/>
          <w:strike w:val="0"/>
          <w:dstrike w:val="0"/>
          <w:color w:val="auto"/>
          <w:kern w:val="2"/>
          <w:sz w:val="32"/>
          <w:szCs w:val="32"/>
          <w:lang w:val="en-US" w:eastAsia="zh-CN" w:bidi="ar-SA"/>
        </w:rPr>
        <w:t>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《中华人民共和国文物保护法实施条例》第</w:t>
      </w:r>
      <w:r>
        <w:rPr>
          <w:rFonts w:hint="eastAsia" w:ascii="Times New Roman" w:hAnsi="Times New Roman" w:eastAsia="方正仿宋_GBK" w:cs="Times New Roman"/>
          <w:strike w:val="0"/>
          <w:dstrike w:val="0"/>
          <w:color w:val="auto"/>
          <w:kern w:val="2"/>
          <w:sz w:val="32"/>
          <w:szCs w:val="32"/>
          <w:lang w:val="en-US" w:eastAsia="zh-CN" w:bidi="ar-SA"/>
        </w:rPr>
        <w:t>三十</w:t>
      </w:r>
      <w:r>
        <w:rPr>
          <w:rFonts w:hint="default" w:ascii="Times New Roman" w:hAnsi="Times New Roman" w:eastAsia="方正仿宋_GBK" w:cs="Times New Roman"/>
          <w:strike w:val="0"/>
          <w:dstrike w:val="0"/>
          <w:color w:val="auto"/>
          <w:kern w:val="2"/>
          <w:sz w:val="32"/>
          <w:szCs w:val="32"/>
          <w:lang w:val="en-US" w:eastAsia="zh-CN" w:bidi="ar-SA"/>
        </w:rPr>
        <w:t>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《中华人民共和国文物保护法实施条例》第</w:t>
      </w:r>
      <w:r>
        <w:rPr>
          <w:rFonts w:hint="eastAsia" w:ascii="Times New Roman" w:hAnsi="Times New Roman" w:eastAsia="方正仿宋_GBK" w:cs="Times New Roman"/>
          <w:strike w:val="0"/>
          <w:dstrike w:val="0"/>
          <w:color w:val="auto"/>
          <w:kern w:val="2"/>
          <w:sz w:val="32"/>
          <w:szCs w:val="32"/>
          <w:lang w:val="en-US" w:eastAsia="zh-CN" w:bidi="ar-SA"/>
        </w:rPr>
        <w:t>三十一</w:t>
      </w:r>
      <w:r>
        <w:rPr>
          <w:rFonts w:hint="default" w:ascii="Times New Roman" w:hAnsi="Times New Roman" w:eastAsia="方正仿宋_GBK" w:cs="Times New Roman"/>
          <w:strike w:val="0"/>
          <w:dstrike w:val="0"/>
          <w:color w:val="auto"/>
          <w:kern w:val="2"/>
          <w:sz w:val="32"/>
          <w:szCs w:val="32"/>
          <w:lang w:val="en-US" w:eastAsia="zh-CN" w:bidi="ar-SA"/>
        </w:rPr>
        <w:t>条</w:t>
      </w:r>
    </w:p>
    <w:p>
      <w:pPr>
        <w:pStyle w:val="4"/>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永德县文化和旅游局</w:t>
      </w:r>
    </w:p>
    <w:p>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pStyle w:val="4"/>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非国有文物收藏单位和其他单位借用国有藏馆文物审批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非国有文物收藏单位和其他单位借用县级文物部门主管的国有馆藏二级及以下文物；</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借用国有馆藏二级及以下文物必要性充分；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rPr>
        <w:t>展览举办双方具备相关基础条件，资信记录良好，签订展览协议与安全保障方案；</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rPr>
        <w:t>已建立馆藏文物档案并将馆藏文物档案报主管的文物行政主管部门备案。</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中华人民共和国文物保护法</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第四十条第三款非国有文物收藏单位和其他单位举办展览需借用国有馆藏文物的，应当报主管的文物行政部门批准；借用国有馆藏一级文物，应当经国务院文物行政部门批准。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中华人民共和国文物保护法实施条例</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第三十条第一款文物收藏单位之间借用馆藏文物，借用人应当对借用的馆藏文物采取必要的保护措施，确保文物的安全。</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中华人民共和国文物保护法实施条例</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第三十一条国有文物收藏单位未依照文物保护法第三十六条的规定建立馆藏文物档案并将馆藏文物档案报主管的文物行政主管部门备案的，不得交换、借用馆藏文物。</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w:t>
      </w:r>
      <w:r>
        <w:rPr>
          <w:rFonts w:hint="eastAsia" w:ascii="Times New Roman" w:hAnsi="Times New Roman" w:eastAsia="方正仿宋_GBK" w:cs="Times New Roman"/>
          <w:sz w:val="32"/>
          <w:szCs w:val="32"/>
          <w:lang w:val="en-US" w:eastAsia="zh-CN"/>
        </w:rPr>
        <w:t>企业法人，事业单位法人，社会组织法人，非法人企业，行政机关</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将承诺审批时限由20个工作日压减至1</w:t>
      </w:r>
      <w:r>
        <w:rPr>
          <w:rFonts w:hint="eastAsia" w:ascii="Times New Roman" w:hAnsi="Times New Roman" w:eastAsia="方正仿宋_GBK" w:cs="Times New Roman"/>
          <w:b w:val="0"/>
          <w:bCs w:val="0"/>
          <w:strike w:val="0"/>
          <w:dstrike w:val="0"/>
          <w:color w:val="auto"/>
          <w:sz w:val="32"/>
          <w:szCs w:val="32"/>
          <w:lang w:val="en-US" w:eastAsia="zh-CN"/>
        </w:rPr>
        <w:t>0</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1.加强非国有文物收藏单位借用国有馆藏文物审批的事中事后监管，对发现的问题，应依法采用责令改正、实施处罚等方式及时处理；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w:t>
      </w:r>
      <w:r>
        <w:rPr>
          <w:rFonts w:hint="eastAsia" w:ascii="Times New Roman" w:hAnsi="Times New Roman" w:eastAsia="方正仿宋_GBK" w:cs="Times New Roman"/>
          <w:b w:val="0"/>
          <w:bCs w:val="0"/>
          <w:strike w:val="0"/>
          <w:dstrike w:val="0"/>
          <w:color w:val="auto"/>
          <w:sz w:val="32"/>
          <w:szCs w:val="32"/>
          <w:lang w:val="en-US" w:eastAsia="zh-CN"/>
        </w:rPr>
        <w:t>文化和旅游</w:t>
      </w:r>
      <w:r>
        <w:rPr>
          <w:rFonts w:hint="default" w:ascii="Times New Roman" w:hAnsi="Times New Roman" w:eastAsia="方正仿宋_GBK" w:cs="Times New Roman"/>
          <w:b w:val="0"/>
          <w:bCs w:val="0"/>
          <w:strike w:val="0"/>
          <w:dstrike w:val="0"/>
          <w:color w:val="auto"/>
          <w:sz w:val="32"/>
          <w:szCs w:val="32"/>
          <w:lang w:val="en-US" w:eastAsia="zh-CN"/>
        </w:rPr>
        <w:t>行政部门对日常工作中发现或群众投诉举报的涉嫌违法违规事项，及时开展调查，并根据法定职权和实际情况对确实存在违法违规行为的，采取向上级部门汇报、督导转办、责令整改、实施行政处罚等方式，纠正违法违规行为；</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3.开展“双随机、一公开”抽查检查，随机选派检查人员，对随机抽取的检查对象开展检查工作，对检查中发现的问题及时以督促整改、责令改正、实施处罚等方式及时处理，对检查的结果及时向社会公开。</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文物借用协议；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借用文物的安全状况评估报告；</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借用单位资信情况报告和场馆设施条件评估报告。</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中华人民共和国文物保护法实施条例第三十条文物收藏单位之间借用馆藏文物，借用人应当对借用的馆藏文物采取必要的保护措施，确保文物的安全。借用的馆藏文物的灭失、损坏风险，除当事人另有约定外，由借用该馆藏文物的文物收藏单位承担。</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2.《</w:t>
      </w:r>
      <w:bookmarkStart w:id="0" w:name="_GoBack"/>
      <w:bookmarkEnd w:id="0"/>
      <w:r>
        <w:rPr>
          <w:rFonts w:hint="default" w:ascii="Times New Roman" w:hAnsi="Times New Roman" w:eastAsia="方正仿宋_GBK" w:cs="Times New Roman"/>
          <w:b w:val="0"/>
          <w:bCs w:val="0"/>
          <w:strike w:val="0"/>
          <w:dstrike w:val="0"/>
          <w:color w:val="auto"/>
          <w:sz w:val="32"/>
          <w:szCs w:val="32"/>
          <w:lang w:val="en-US" w:eastAsia="zh-CN"/>
        </w:rPr>
        <w:t>国家文物局行政许可事项服务指南</w:t>
      </w:r>
      <w:r>
        <w:rPr>
          <w:rFonts w:hint="eastAsia" w:ascii="Times New Roman" w:hAnsi="Times New Roman" w:eastAsia="方正仿宋_GBK" w:cs="Times New Roman"/>
          <w:b w:val="0"/>
          <w:bCs w:val="0"/>
          <w:strike w:val="0"/>
          <w:dstrike w:val="0"/>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文物借用协议；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借用文物的安全状况评估报告；</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借用单位资信情况报告和场馆设施条件评估报告。</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pStyle w:val="4"/>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pPr>
        <w:keepNext w:val="0"/>
        <w:keepLines w:val="0"/>
        <w:pageBreakBefore w:val="0"/>
        <w:widowControl w:val="0"/>
        <w:kinsoku/>
        <w:wordWrap/>
        <w:overflowPunct/>
        <w:topLinePunct w:val="0"/>
        <w:autoSpaceDE/>
        <w:autoSpaceDN/>
        <w:bidi w:val="0"/>
        <w:adjustRightInd/>
        <w:snapToGrid/>
        <w:spacing w:line="570" w:lineRule="exact"/>
        <w:ind w:left="638" w:leftChars="304" w:firstLine="0" w:firstLine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1.文物出借单位向县级文物行政管理部门提交申请材料；2.受理、审核申请材料；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3.现场勘验、专家评审、委托服务机构开展技术性服务（部分情况下开展）；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4.作出准予许可或者不予许可的决定。</w:t>
      </w:r>
    </w:p>
    <w:p>
      <w:pPr>
        <w:numPr>
          <w:ilvl w:val="0"/>
          <w:numId w:val="0"/>
        </w:numPr>
        <w:spacing w:line="600" w:lineRule="exact"/>
        <w:ind w:left="638" w:leftChars="304" w:firstLine="0" w:firstLineChars="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《国家文物局行政许可事项服务指南》</w:t>
      </w:r>
    </w:p>
    <w:p>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1.文物出借单位向文物行政管理部门提交申请材料；</w:t>
      </w:r>
    </w:p>
    <w:p>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2.受理、审核申请材料；</w:t>
      </w:r>
    </w:p>
    <w:p>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3.作出准予许可或者不予许可的决定。</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是否需要现场勘验</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部分情况下开展</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是否需要组织听证</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是否需要招标、拍卖、挂牌交易</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w:t>
      </w:r>
      <w:r>
        <w:rPr>
          <w:rFonts w:hint="default" w:ascii="楷体" w:hAnsi="楷体" w:eastAsia="楷体" w:cs="楷体"/>
          <w:b w:val="0"/>
          <w:bCs w:val="0"/>
          <w:strike w:val="0"/>
          <w:dstrike w:val="0"/>
          <w:color w:val="auto"/>
          <w:sz w:val="32"/>
          <w:szCs w:val="32"/>
          <w:lang w:val="en-US" w:eastAsia="zh-CN"/>
        </w:rPr>
        <w:t>是否需要检验、检测、检疫</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w:t>
      </w:r>
      <w:r>
        <w:rPr>
          <w:rFonts w:hint="default" w:ascii="楷体" w:hAnsi="楷体" w:eastAsia="楷体" w:cs="楷体"/>
          <w:b w:val="0"/>
          <w:bCs w:val="0"/>
          <w:strike w:val="0"/>
          <w:dstrike w:val="0"/>
          <w:color w:val="auto"/>
          <w:sz w:val="32"/>
          <w:szCs w:val="32"/>
          <w:lang w:val="en-US" w:eastAsia="zh-CN"/>
        </w:rPr>
        <w:t>是否需要鉴定</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w:t>
      </w:r>
      <w:r>
        <w:rPr>
          <w:rFonts w:hint="default" w:ascii="楷体" w:hAnsi="楷体" w:eastAsia="楷体" w:cs="楷体"/>
          <w:b w:val="0"/>
          <w:bCs w:val="0"/>
          <w:strike w:val="0"/>
          <w:dstrike w:val="0"/>
          <w:color w:val="auto"/>
          <w:sz w:val="32"/>
          <w:szCs w:val="32"/>
          <w:lang w:val="en-US" w:eastAsia="zh-CN"/>
        </w:rPr>
        <w:t>是否需要专家评审</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部分情况下开展</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w:t>
      </w:r>
      <w:r>
        <w:rPr>
          <w:rFonts w:hint="default" w:ascii="楷体" w:hAnsi="楷体" w:eastAsia="楷体" w:cs="楷体"/>
          <w:b w:val="0"/>
          <w:bCs w:val="0"/>
          <w:strike w:val="0"/>
          <w:dstrike w:val="0"/>
          <w:color w:val="auto"/>
          <w:sz w:val="32"/>
          <w:szCs w:val="32"/>
          <w:lang w:val="en-US" w:eastAsia="zh-CN"/>
        </w:rPr>
        <w:t>是否需要向社会公示</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w:t>
      </w:r>
      <w:r>
        <w:rPr>
          <w:rFonts w:hint="default" w:ascii="楷体" w:hAnsi="楷体" w:eastAsia="楷体" w:cs="楷体"/>
          <w:b w:val="0"/>
          <w:bCs w:val="0"/>
          <w:strike w:val="0"/>
          <w:dstrike w:val="0"/>
          <w:color w:val="auto"/>
          <w:sz w:val="32"/>
          <w:szCs w:val="32"/>
          <w:lang w:val="en-US" w:eastAsia="zh-CN"/>
        </w:rPr>
        <w:t>是否实行告知承诺办理</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（十一）审批机关是否委托服务机构开展技术性服务：</w:t>
      </w:r>
      <w:r>
        <w:rPr>
          <w:rFonts w:hint="eastAsia" w:ascii="方正仿宋_GBK" w:hAnsi="方正仿宋_GBK" w:eastAsia="方正仿宋_GBK" w:cs="方正仿宋_GBK"/>
          <w:b w:val="0"/>
          <w:bCs w:val="0"/>
          <w:strike w:val="0"/>
          <w:dstrike w:val="0"/>
          <w:color w:val="auto"/>
          <w:sz w:val="32"/>
          <w:szCs w:val="32"/>
          <w:lang w:val="en-US" w:eastAsia="zh-CN"/>
        </w:rPr>
        <w:t>部分情况下开展</w:t>
      </w:r>
    </w:p>
    <w:p>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kern w:val="2"/>
          <w:sz w:val="32"/>
          <w:szCs w:val="32"/>
          <w:lang w:val="en-US" w:eastAsia="zh-CN" w:bidi="ar-SA"/>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Times New Roman" w:hAnsi="Times New Roman" w:eastAsia="楷体"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eastAsia" w:ascii="方正仿宋_GBK" w:hAnsi="方正仿宋_GBK" w:eastAsia="方正仿宋_GBK" w:cs="方正仿宋_GBK"/>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中华人民共和国行政许可法》第四十二条第一款除可以当场作出行政许可决定的外，行政机关应当自受理行政许可申请之日起二十日内作出行政许可决定。</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（四）承诺审批时限：</w:t>
      </w:r>
      <w:r>
        <w:rPr>
          <w:rFonts w:hint="eastAsia" w:ascii="Times New Roman" w:hAnsi="Times New Roman" w:eastAsia="楷体" w:cs="Times New Roman"/>
          <w:b w:val="0"/>
          <w:bCs w:val="0"/>
          <w:strike w:val="0"/>
          <w:dstrike w:val="0"/>
          <w:color w:val="auto"/>
          <w:sz w:val="32"/>
          <w:szCs w:val="32"/>
          <w:lang w:val="en-US" w:eastAsia="zh-CN"/>
        </w:rPr>
        <w:t>10</w:t>
      </w:r>
      <w:r>
        <w:rPr>
          <w:rFonts w:hint="eastAsia" w:ascii="方正仿宋_GBK" w:hAnsi="方正仿宋_GBK" w:eastAsia="方正仿宋_GBK" w:cs="方正仿宋_GBK"/>
          <w:b w:val="0"/>
          <w:bCs w:val="0"/>
          <w:strike w:val="0"/>
          <w:dstrike w:val="0"/>
          <w:color w:val="auto"/>
          <w:sz w:val="32"/>
          <w:szCs w:val="32"/>
          <w:lang w:val="en-US" w:eastAsia="zh-CN"/>
        </w:rPr>
        <w:t>个工作日，依法进行委托评估、专家评审另需时间不计算在该时限。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批文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批复</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当次</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r>
        <w:rPr>
          <w:rFonts w:hint="eastAsia" w:ascii="方正仿宋_GBK" w:hAnsi="方正仿宋_GBK" w:eastAsia="方正仿宋_GBK" w:cs="方正仿宋_GBK"/>
          <w:b w:val="0"/>
          <w:bCs w:val="0"/>
          <w:strike w:val="0"/>
          <w:dstrike w:val="0"/>
          <w:color w:val="auto"/>
          <w:sz w:val="32"/>
          <w:szCs w:val="32"/>
          <w:lang w:val="en-US" w:eastAsia="zh-CN"/>
        </w:rPr>
        <w:t>暂无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暂无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县级文化和旅游行政部门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pPr>
        <w:pStyle w:val="4"/>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p>
      <w:pPr>
        <w:rPr>
          <w:rFonts w:hint="eastAsia" w:ascii="方正仿宋_GBK" w:hAnsi="方正仿宋_GBK" w:eastAsia="方正仿宋_GBK" w:cs="方正仿宋_GBK"/>
          <w:sz w:val="32"/>
          <w:szCs w:val="32"/>
          <w:lang w:eastAsia="zh-CN"/>
        </w:rPr>
      </w:pPr>
    </w:p>
    <w:p>
      <w:pPr>
        <w:rPr>
          <w:rFonts w:hint="eastAsia" w:eastAsia="宋体"/>
          <w:lang w:eastAsia="zh-CN"/>
        </w:rPr>
      </w:pPr>
    </w:p>
    <w:p/>
    <w:p/>
    <w:p/>
    <w:p>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19705E1D"/>
    <w:rsid w:val="19705E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正文2"/>
    <w:basedOn w:val="1"/>
    <w:next w:val="1"/>
    <w:autoRedefine/>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2024-01-17T06:42:00Z</dcterms:created>
  <dc:creator>未定义</dc:creator>
  <cp:lastModifiedBy>未定义</cp:lastModifiedBy>
  <dcterms:modified xsi:type="dcterms:W3CDTF">2024-01-17T08:02:57Z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55F8D677090E45E2A72869D81EA6BC8A_11</vt:lpwstr>
  </property>
</Properties>
</file>