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建设工程</w:t>
      </w:r>
      <w:bookmarkStart w:id="0" w:name="_GoBack"/>
      <w:bookmarkEnd w:id="0"/>
      <w:r>
        <w:rPr>
          <w:rFonts w:hint="eastAsia" w:ascii="方正小标宋_GBK" w:hAnsi="方正小标宋_GBK" w:eastAsia="方正小标宋_GBK" w:cs="方正小标宋_GBK"/>
          <w:sz w:val="44"/>
          <w:szCs w:val="44"/>
        </w:rPr>
        <w:t>文物保护许可</w:t>
      </w:r>
    </w:p>
    <w:p>
      <w:pPr>
        <w:jc w:val="center"/>
        <w:rPr>
          <w:rFonts w:hint="eastAsia" w:ascii="方正仿宋_GBK" w:hAnsi="方正仿宋_GBK" w:eastAsia="方正仿宋_GBK" w:cs="方正仿宋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建设工程文物保护许可【</w:t>
      </w:r>
      <w:r>
        <w:rPr>
          <w:rFonts w:hint="default" w:ascii="Times New Roman" w:hAnsi="Times New Roman" w:cs="Times New Roman"/>
          <w:sz w:val="32"/>
          <w:szCs w:val="32"/>
        </w:rPr>
        <w:t>00016810100Y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在县级文物保护单位保护范围内进行其他建设工程或者爆破、钻探、挖掘等作业审批【</w:t>
      </w:r>
      <w:r>
        <w:rPr>
          <w:rFonts w:hint="default" w:ascii="Times New Roman" w:hAnsi="Times New Roman" w:cs="Times New Roman"/>
          <w:sz w:val="32"/>
          <w:szCs w:val="32"/>
        </w:rPr>
        <w:t>000168101007</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lang w:eastAsia="zh-CN"/>
        </w:rPr>
        <w:t>在县级文物保护单位保护范围内进行其他建设工程或者爆破、钻探、挖掘等作业审批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00016810100701</w:t>
      </w:r>
      <w:r>
        <w:rPr>
          <w:rFonts w:ascii="Times New Roman" w:hAnsi="Times New Roman" w:eastAsia="方正小标宋_GBK"/>
          <w:color w:val="000000"/>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《中华人民共和国文物保护法》第十七条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《中华人民共和国文物保护法》第十八条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仿宋_GBK"/>
          <w:color w:val="000000"/>
          <w:sz w:val="28"/>
          <w:szCs w:val="28"/>
        </w:rPr>
      </w:pPr>
      <w:r>
        <w:rPr>
          <w:rFonts w:hint="eastAsia" w:ascii="方正仿宋_GBK" w:hAnsi="方正仿宋_GBK" w:eastAsia="方正仿宋_GBK" w:cs="方正仿宋_GBK"/>
          <w:sz w:val="32"/>
          <w:szCs w:val="32"/>
          <w:lang w:eastAsia="zh-CN"/>
        </w:rPr>
        <w:t>《中华人民共和国文物保护法》第二十九条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《中华人民共和国文物保护法》第十七条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《中华人民共和国文物保护法》第十八条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仿宋_GBK"/>
          <w:color w:val="000000"/>
          <w:sz w:val="28"/>
          <w:szCs w:val="28"/>
        </w:rPr>
      </w:pPr>
      <w:r>
        <w:rPr>
          <w:rFonts w:hint="eastAsia" w:ascii="方正仿宋_GBK" w:hAnsi="方正仿宋_GBK" w:eastAsia="方正仿宋_GBK" w:cs="方正仿宋_GBK"/>
          <w:sz w:val="32"/>
          <w:szCs w:val="32"/>
          <w:lang w:eastAsia="zh-CN"/>
        </w:rPr>
        <w:t>《中华人民共和国文物保护法》第二十九条</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pPr>
        <w:pStyle w:val="2"/>
        <w:numPr>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《中华人民共和国文物保护法》第六十六条</w:t>
      </w:r>
    </w:p>
    <w:p>
      <w:pPr>
        <w:pStyle w:val="2"/>
        <w:numPr>
          <w:numId w:val="0"/>
        </w:numPr>
        <w:ind w:firstLine="640" w:firstLineChars="200"/>
        <w:rPr>
          <w:rFonts w:hint="eastAsia" w:ascii="方正楷体_GBK" w:hAnsi="方正楷体_GBK" w:eastAsia="方正楷体_GBK" w:cs="方正楷体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p>
    <w:p>
      <w:pPr>
        <w:pStyle w:val="2"/>
        <w:numPr>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县级政府（由文化和旅游部门承办，征得上一级文化和旅游部门同意）</w:t>
      </w:r>
    </w:p>
    <w:p>
      <w:pPr>
        <w:numPr>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（九）</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2"/>
        <w:numPr>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kern w:val="2"/>
          <w:sz w:val="32"/>
          <w:szCs w:val="32"/>
          <w:lang w:val="en-US" w:eastAsia="zh-CN" w:bidi="ar-SA"/>
        </w:rPr>
        <w:t>在</w:t>
      </w:r>
      <w:r>
        <w:rPr>
          <w:rFonts w:hint="default" w:ascii="方正仿宋_GBK" w:hAnsi="方正仿宋_GBK" w:eastAsia="方正仿宋_GBK" w:cs="方正仿宋_GBK"/>
          <w:b w:val="0"/>
          <w:bCs w:val="0"/>
          <w:strike w:val="0"/>
          <w:dstrike w:val="0"/>
          <w:color w:val="auto"/>
          <w:kern w:val="2"/>
          <w:sz w:val="32"/>
          <w:szCs w:val="32"/>
          <w:lang w:val="en-US" w:eastAsia="zh-CN" w:bidi="ar-SA"/>
        </w:rPr>
        <w:t>县级文物保护单位保护范围内其他建设工程或者爆破、钻探、挖掘等作业审批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1.确实有必要进行其他建设工程或者爆破、钻探、挖掘等作业</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2.有保证文物安全的具体措施</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3.符合已经公布的文物保护单位保护规划要求</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4.对文物本体不造成破坏</w:t>
      </w:r>
    </w:p>
    <w:p>
      <w:pPr>
        <w:pStyle w:val="2"/>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5.上一级文化和旅游行政部门同意</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文物保护法》第十七条文物保护单位的保护范围内不得进行其他建设工程或者爆破、钻探、挖掘等作业。但是，因特殊情况需要在文物保护单位的保护范围内进行其他建设工程或者爆破、钻探、挖掘等作业的，必须保证文物保护单位的安全，并经核定公布该文物保护单位的人民政府批准，在批准前应当征得上一级人民政府文物行政部门同意；在全国重点文物保护单位的保护范围内进行其他建设工程或者爆破、钻探、挖掘等作业的，必须经省、自治区、直辖市人民政府批准，在批准前应当征得国务院文物行政部门同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自然人，企业法人，事业单位法人，社会组织法人，非法人企业，行政机关，其他组织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1.县级文化和旅游行政部门加强对工程实施单位的日常监督管理，针对发现的普遍性和突出问题开展专项检查。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2.设区的市级文化和旅游行政部门开展</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双随机、一公开</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检查，对发现的问题及时处理。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3.依法及时处理投诉举报。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4.针对存在的问题，完善管理制度。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1.建设单位申请书，内容包括：建设单位名称、建设项目、建设地点、建设规模、必须进行该工程的理由说明。</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2.建设工程的规划、设计方案。内容包括：1/500或者1/2000现状地形图（标出涉及的文物保护单位保护范围），建设工程设计方案还需上报相关建筑的总平面图、平面、立面、剖面图。</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3.工程对文物可能产生破坏或影响的评估报告及为保护文物安全及历史、自然环境所采用的相关措施。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4.县级文物保护单位的具体保护措施；涉及世界文化遗产的，需提供申报文本或有关说明材料。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5.涉及地下埋藏文物的，须提供考古勘探发掘资料。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6.上一级文化和旅游行政部门同意的文件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r>
        <w:rPr>
          <w:rFonts w:hint="eastAsia" w:ascii="楷体" w:hAnsi="楷体" w:eastAsia="楷体" w:cs="楷体"/>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r>
        <w:rPr>
          <w:rFonts w:hint="eastAsia" w:ascii="Times New Roman" w:hAnsi="Times New Roman" w:eastAsia="方正仿宋_GBK" w:cs="Times New Roman"/>
          <w:b w:val="0"/>
          <w:bCs w:val="0"/>
          <w:strike w:val="0"/>
          <w:dstrike w:val="0"/>
          <w:color w:val="auto"/>
          <w:sz w:val="32"/>
          <w:szCs w:val="32"/>
          <w:lang w:val="en-US" w:eastAsia="zh-CN"/>
        </w:rPr>
        <w:t>文化和旅游</w:t>
      </w:r>
      <w:r>
        <w:rPr>
          <w:rFonts w:hint="default" w:ascii="Times New Roman" w:hAnsi="Times New Roman" w:eastAsia="方正仿宋_GBK" w:cs="Times New Roman"/>
          <w:b w:val="0"/>
          <w:bCs w:val="0"/>
          <w:strike w:val="0"/>
          <w:dstrike w:val="0"/>
          <w:color w:val="auto"/>
          <w:sz w:val="32"/>
          <w:szCs w:val="32"/>
          <w:lang w:val="en-US" w:eastAsia="zh-CN"/>
        </w:rPr>
        <w:t>行政部门行政许可事项服务指南有关内容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1.建设单位向县级人民政府提交申请材料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2.受理申请材料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3.组织专业机构或者专家评审（必要时组织实地核查）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4.审核申请材料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5.征求上一级文物行政部门意见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6.提出审查意见及理由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7.作出准予许可或者不予许可的决定</w:t>
      </w:r>
    </w:p>
    <w:p>
      <w:pPr>
        <w:numPr>
          <w:numId w:val="0"/>
        </w:numPr>
        <w:spacing w:line="600" w:lineRule="exact"/>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pStyle w:val="2"/>
        <w:ind w:firstLine="640" w:firstLineChars="20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《中华人民共和国行政许可法》相关规定</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楷体" w:cs="Times New Roman"/>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ascii="Times New Roman" w:hAnsi="Times New Roman" w:eastAsia="仿宋GB2312"/>
          <w:color w:val="000000"/>
          <w:sz w:val="32"/>
          <w:szCs w:val="32"/>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《中华人民共和国行政许可法》第四十二条除可以当场作出行政许可决定的外，行政机关应当自受理行政许可申请之日起二十日内作出行政许可决定。</w:t>
      </w:r>
    </w:p>
    <w:p>
      <w:pPr>
        <w:pStyle w:val="2"/>
        <w:ind w:firstLine="640" w:firstLineChars="20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13</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许可决定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文物保护法》第十七条文物保护单位的保护范围内不得进行其他建设工程或者爆破、钻探、挖掘等作业。但是，因特殊情况需要在文物保护单位的保护范围内进行其他建设工程或者爆破、钻探、挖掘等作业的，必须保证文物保护单位的安全，并经核定公布该文物保护单位的人民政府批准，在批准前应当征得上一级人民政府文物行政部门同意；在全国重点文物保护单位的保护范围内进行其他建设工程或者爆破、钻探、挖掘等作业的，必须经省、自治区、直辖市人民政府批准，在批准前应当征得国务院文物行政部门同意。</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文物保护法》第十七条文物保护单位的保护范围内不得进行其他建设工程或者爆破、钻探、挖掘等作业。但是，因特殊情况需要在文物保护单位的保护范围内进行其他建设工程或者爆破、钻探、挖掘等作业的，必须保证文物保护单位的安全，并经核定公布该文物保护单位的人民政府批准，在批准前应当征得上一级人民政府文物行政部门同意；在全国重点文物保护单位的保护范围内进行其他建设工程或者爆破、钻探、挖掘等作业的，必须经省、自治区、直辖市人民政府批准，在批准前应当征得国务院文物行政部门同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国家文物局、省文化和旅游厅、市文化和旅游局、县级文化和旅游行政部门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4A094ECF"/>
    <w:rsid w:val="4A094E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2024-01-16T07:04:00Z</dcterms:created>
  <dc:creator>未定义</dc:creator>
  <cp:lastModifiedBy>未定义</cp:lastModifiedBy>
  <dcterms:modified xsi:type="dcterms:W3CDTF">2024-01-16T09:23:51Z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7E407C6A25AE41699714E9286F815295_11</vt:lpwstr>
  </property>
</Properties>
</file>