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互联网上网服务经营活动审批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互联网上网服务经营活动审批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00012210800Y</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内资从事互联网上网服务经营活动审批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000122108001</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楷体_GBK" w:hAnsi="方正楷体_GBK" w:eastAsia="方正楷体_GBK" w:cs="方正楷体_GBK"/>
          <w:b w:val="0"/>
          <w:bCs w:val="0"/>
          <w:strike w:val="0"/>
          <w:dstrike w:val="0"/>
          <w:color w:val="auto"/>
          <w:sz w:val="32"/>
          <w:szCs w:val="32"/>
          <w:lang w:val="en-US" w:eastAsia="zh-CN"/>
        </w:rPr>
      </w:pPr>
      <w:r>
        <w:rPr>
          <w:rFonts w:hint="default" w:ascii="Times New Roman" w:hAnsi="Times New Roman" w:eastAsia="方正仿宋_GBK" w:cs="Times New Roman"/>
          <w:sz w:val="32"/>
          <w:szCs w:val="32"/>
          <w:lang w:val="en-US" w:eastAsia="zh-CN"/>
        </w:rPr>
        <w:t>《互联网上网服务营业场所管理条例》第七条国家对互联网上网服务营业场所经营单位的经营活动实行许可制度。未经许可，任何组织和个人不得从事互联网上网服务经营活动。</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《互联网上网服务营业场所管理条例》第十一条</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《互联网上网服务营业场所管理条例》第二十七条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w:t>
      </w:r>
      <w:r>
        <w:rPr>
          <w:rFonts w:hint="default" w:ascii="方正楷体_GBK" w:hAnsi="方正楷体_GBK" w:eastAsia="方正楷体_GBK" w:cs="方正楷体_GBK"/>
          <w:b w:val="0"/>
          <w:bCs w:val="0"/>
          <w:strike w:val="0"/>
          <w:dstrike w:val="0"/>
          <w:color w:val="auto"/>
          <w:sz w:val="32"/>
          <w:szCs w:val="32"/>
          <w:lang w:val="en-US" w:eastAsia="zh-CN"/>
        </w:rPr>
        <w:t>实施机关</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永德县文化和旅游局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w:t>
      </w:r>
      <w:r>
        <w:rPr>
          <w:rFonts w:hint="default" w:ascii="方正楷体_GBK" w:hAnsi="方正楷体_GBK" w:eastAsia="方正楷体_GBK" w:cs="方正楷体_GBK"/>
          <w:b w:val="0"/>
          <w:bCs w:val="0"/>
          <w:strike w:val="0"/>
          <w:dstrike w:val="0"/>
          <w:color w:val="auto"/>
          <w:sz w:val="32"/>
          <w:szCs w:val="32"/>
          <w:lang w:val="en-US" w:eastAsia="zh-CN"/>
        </w:rPr>
        <w:t>审批层级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（八）行使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rPr>
        <w:t>互联网上网服务经营活动审批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有企业的名称、住所、组织机构和章程；有与其经营活动相适应的资金；有与其经营活动相适应并符合国家规定的消防安全条件的营业场所；有健全、完善的信息网络安全管理制度和安全技术措施；有固定的网络地址和与其经营活动相适应的计算机等装置及附属设备；有与其经营活动相适应并取得从业资格的安全管理人员、经营管理人员、专业技术人员；法律、行政法规和国务院有关部门规定的其他条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《互联网上网服务营业场所管理条例》第八条互联网上网服务营业场所经营单位从事互联网上网服务经营活动，应当具备下列条件：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有企业的名称、住所、组织机构和章程；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）有与其经营活动相适应的资金；</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）有与其经营活动相适应并符合国家规定的消防安全条件的营业场所；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4</w:t>
      </w:r>
      <w:r>
        <w:rPr>
          <w:rFonts w:hint="default" w:ascii="Times New Roman" w:hAnsi="Times New Roman" w:eastAsia="方正仿宋_GBK" w:cs="Times New Roman"/>
          <w:b w:val="0"/>
          <w:bCs w:val="0"/>
          <w:strike w:val="0"/>
          <w:dstrike w:val="0"/>
          <w:color w:val="auto"/>
          <w:sz w:val="32"/>
          <w:szCs w:val="32"/>
          <w:lang w:val="en-US" w:eastAsia="zh-CN"/>
        </w:rPr>
        <w:t>）有健全、完善的信息网络安全管理制度和安全技术措施；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5</w:t>
      </w:r>
      <w:r>
        <w:rPr>
          <w:rFonts w:hint="default" w:ascii="Times New Roman" w:hAnsi="Times New Roman" w:eastAsia="方正仿宋_GBK" w:cs="Times New Roman"/>
          <w:b w:val="0"/>
          <w:bCs w:val="0"/>
          <w:strike w:val="0"/>
          <w:dstrike w:val="0"/>
          <w:color w:val="auto"/>
          <w:sz w:val="32"/>
          <w:szCs w:val="32"/>
          <w:lang w:val="en-US" w:eastAsia="zh-CN"/>
        </w:rPr>
        <w:t>）有固定的网络地址和与其经营活动相适应的计算机等装置及附属设备；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6</w:t>
      </w:r>
      <w:r>
        <w:rPr>
          <w:rFonts w:hint="default" w:ascii="Times New Roman" w:hAnsi="Times New Roman" w:eastAsia="方正仿宋_GBK" w:cs="Times New Roman"/>
          <w:b w:val="0"/>
          <w:bCs w:val="0"/>
          <w:strike w:val="0"/>
          <w:dstrike w:val="0"/>
          <w:color w:val="auto"/>
          <w:sz w:val="32"/>
          <w:szCs w:val="32"/>
          <w:lang w:val="en-US" w:eastAsia="zh-CN"/>
        </w:rPr>
        <w:t>）有与其经营活动相适应并取得从业资格的安全管理人员、经营管理人员、专业技术人员；</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sz w:val="32"/>
          <w:szCs w:val="32"/>
          <w:lang w:val="en-US" w:eastAsia="zh-CN"/>
        </w:rPr>
        <w:t>7</w:t>
      </w:r>
      <w:r>
        <w:rPr>
          <w:rFonts w:hint="default" w:ascii="Times New Roman" w:hAnsi="Times New Roman" w:eastAsia="方正仿宋_GBK" w:cs="Times New Roman"/>
          <w:b w:val="0"/>
          <w:bCs w:val="0"/>
          <w:strike w:val="0"/>
          <w:dstrike w:val="0"/>
          <w:color w:val="auto"/>
          <w:sz w:val="32"/>
          <w:szCs w:val="32"/>
          <w:lang w:val="en-US" w:eastAsia="zh-CN"/>
        </w:rPr>
        <w:t>）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《互联网上网服务营业场所管理条例》第九条　中学、小学校园周围200米范围内和居民住宅楼(院)内不得设立互联网上网服务营业场所。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eastAsia="zh-CN"/>
        </w:rPr>
        <w:t>企业法人</w:t>
      </w:r>
      <w:r>
        <w:rPr>
          <w:rFonts w:hint="eastAsia" w:ascii="Times New Roman" w:hAnsi="Times New Roman" w:eastAsia="方正仿宋_GBK" w:cs="Times New Roman"/>
          <w:sz w:val="32"/>
          <w:szCs w:val="32"/>
          <w:lang w:eastAsia="zh-CN"/>
        </w:rPr>
        <w:t>、非法人企业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内资从事互联网上网服务经营活动审批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《网络文化经营许可证》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互联网上网服务营业场所经营单位应当实施经营管理技术措施，建立场内巡查制度，发现上网消费者有本条例第十四条、第十五条、第十八条所列行为或者有其他违法行为的，应当立即予以制止并向文化行政部门、公安机关举报。</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2.互联网上网服务营业场所经营单位不得接纳未成年人进入营业场所。互联网上网服务营业场所经营单位应当在营业场所入口处的显著位置悬挂未成年人禁入标志</w:t>
      </w:r>
      <w:r>
        <w:rPr>
          <w:rFonts w:hint="eastAsia" w:ascii="Times New Roman" w:hAnsi="Times New Roman" w:eastAsia="方正仿宋_GBK" w:cs="Times New Roman"/>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3.互联网上网服务营业场所每日营业时间限于8时至24时。</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违反本条例的规定，擅自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200"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default" w:ascii="Times New Roman" w:hAnsi="Times New Roman" w:eastAsia="方正仿宋_GBK" w:cs="Times New Roman"/>
          <w:sz w:val="32"/>
          <w:szCs w:val="32"/>
          <w:lang w:val="en-US" w:eastAsia="zh-CN"/>
        </w:rPr>
        <w:t>6.互联网上网服务营业场所经营单位违反本条例的规定，有下列行为之一的，由文化行政部门给予警告，可以并处15000元以下的罚款；情节严重的，责令停业整顿，直至吊销《网络文化经营许可证》：(一)在规定的营业时间以外营业的；(二)接纳未成年人进入营业场所的；(三)经营非网络游戏的；(四)擅自停止实施经营管理技术措施的；(五)未悬挂《网络文化经营许可证》或者未成年人禁入标志的。</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1.互联网上网服务营业场所筹建申请表；2.营业执照和章程；3.法定代表人或者主要负责人的身份证件；4.营业场所产权证书或者租赁意向书；5.公安机关确认的信息网络安全承诺书；6.消防安全批准文件。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申请人完成筹建后，应当向同级公安机关承诺符合信息网络安全审核条件，并经公安机关确认当场签署承诺书。申请人还应当依照有关消防管理法律法规的规定办理审批手续。</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numPr>
          <w:ilvl w:val="0"/>
          <w:numId w:val="2"/>
        </w:numPr>
        <w:spacing w:line="600" w:lineRule="exact"/>
        <w:ind w:firstLine="56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《互联网上网服务营业场所管理条例》第十一条</w:t>
      </w:r>
      <w:r>
        <w:rPr>
          <w:rFonts w:hint="eastAsia" w:ascii="Times New Roman" w:hAnsi="Times New Roman" w:eastAsia="方正仿宋_GBK" w:cs="Times New Roman"/>
          <w:b w:val="0"/>
          <w:bCs w:val="0"/>
          <w:strike w:val="0"/>
          <w:dstrike w:val="0"/>
          <w:color w:val="auto"/>
          <w:sz w:val="32"/>
          <w:szCs w:val="32"/>
          <w:lang w:val="en-US" w:eastAsia="zh-CN"/>
        </w:rPr>
        <w:t>第二、第三款</w:t>
      </w:r>
      <w:r>
        <w:rPr>
          <w:rFonts w:hint="default" w:ascii="Times New Roman" w:hAnsi="Times New Roman" w:eastAsia="方正仿宋_GBK" w:cs="Times New Roman"/>
          <w:b w:val="0"/>
          <w:bCs w:val="0"/>
          <w:strike w:val="0"/>
          <w:dstrike w:val="0"/>
          <w:color w:val="auto"/>
          <w:sz w:val="32"/>
          <w:szCs w:val="32"/>
          <w:lang w:val="en-US" w:eastAsia="zh-CN"/>
        </w:rPr>
        <w:t xml:space="preserve"> 申请人完成筹建后，应当向同级公安机关承诺符合信息网络安全审核条件，并经公安机关确认当场签署承诺书。申请人还应当依照有关消防管理法律法规的规定办理审批手续。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方正仿宋_GBK" w:hAnsi="方正仿宋_GBK" w:eastAsia="方正仿宋_GBK" w:cs="方正仿宋_GBK"/>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sz w:val="32"/>
          <w:szCs w:val="32"/>
          <w:lang w:val="en-US" w:eastAsia="zh-CN"/>
        </w:rPr>
        <w:t>《互联网上网服务营业场所管理条例》第十一条</w:t>
      </w:r>
      <w:r>
        <w:rPr>
          <w:rFonts w:hint="eastAsia" w:ascii="Times New Roman" w:hAnsi="Times New Roman" w:eastAsia="方正仿宋_GBK" w:cs="Times New Roman"/>
          <w:b w:val="0"/>
          <w:bCs w:val="0"/>
          <w:strike w:val="0"/>
          <w:dstrike w:val="0"/>
          <w:color w:val="auto"/>
          <w:sz w:val="32"/>
          <w:szCs w:val="32"/>
          <w:lang w:val="en-US" w:eastAsia="zh-CN"/>
        </w:rPr>
        <w:t xml:space="preserve">第三款 </w:t>
      </w:r>
      <w:r>
        <w:rPr>
          <w:rFonts w:hint="default" w:ascii="Times New Roman" w:hAnsi="Times New Roman" w:eastAsia="方正仿宋_GBK" w:cs="Times New Roman"/>
          <w:b w:val="0"/>
          <w:bCs w:val="0"/>
          <w:strike w:val="0"/>
          <w:dstrike w:val="0"/>
          <w:color w:val="auto"/>
          <w:sz w:val="32"/>
          <w:szCs w:val="32"/>
          <w:lang w:val="en-US" w:eastAsia="zh-CN"/>
        </w:rPr>
        <w:t>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个工作日，公示、现场测量、勘察及复核</w:t>
      </w:r>
      <w:r>
        <w:rPr>
          <w:rFonts w:hint="default" w:ascii="Times New Roman" w:hAnsi="Times New Roman" w:eastAsia="方正仿宋_GBK" w:cs="Times New Roman"/>
          <w:b w:val="0"/>
          <w:bCs w:val="0"/>
          <w:strike w:val="0"/>
          <w:dstrike w:val="0"/>
          <w:color w:val="auto"/>
          <w:sz w:val="32"/>
          <w:szCs w:val="32"/>
          <w:lang w:val="en-US" w:eastAsia="zh-CN"/>
        </w:rPr>
        <w:t>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《网络文化经营许可证》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《互联网上网服务营业场所管理条例》第七条国家对互联网上网服务营业场所经营单位的经营活动实行许可制度。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第十三条　互联网上网服务营业场所经营单位变更营业场所地址或者对营业场所进行改建、扩建，变更计算机数量或者其他重要事项的，应当经原审核机关同意。互联网上网服务营业场所经营单位变更名称、住所、法定代表人或者主要负责人、注册资本、网络地址或者终止经营活动的，应当依法到工商行政管理部门办理变更登记或者注销登记，并到文化行政部门、公安机关办理有关手续或者备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《互联网上网服务营业场所管理条例》第七条国家对互联网上网服务营业场所经营单位的经营活动实行许可制度。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县级以上文化和旅游行政部门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DCFF1"/>
    <w:multiLevelType w:val="singleLevel"/>
    <w:tmpl w:val="33ADCFF1"/>
    <w:lvl w:ilvl="0" w:tentative="0">
      <w:start w:val="2"/>
      <w:numFmt w:val="chineseCounting"/>
      <w:suff w:val="nothing"/>
      <w:lvlText w:val="（%1）"/>
      <w:lvlJc w:val="left"/>
      <w:rPr>
        <w:rFonts w:hint="eastAsia"/>
      </w:rPr>
    </w:lvl>
  </w:abstractNum>
  <w:abstractNum w:abstractNumId="1">
    <w:nsid w:val="45788889"/>
    <w:multiLevelType w:val="singleLevel"/>
    <w:tmpl w:val="4578888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61727A3E"/>
    <w:rsid w:val="3F971548"/>
    <w:rsid w:val="48EF28A7"/>
    <w:rsid w:val="5B022F52"/>
    <w:rsid w:val="61727A3E"/>
    <w:rsid w:val="786C25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2024-01-16T02:56:00Z</dcterms:created>
  <dc:creator>未定义</dc:creator>
  <cp:lastModifiedBy>未定义</cp:lastModifiedBy>
  <dcterms:modified xsi:type="dcterms:W3CDTF">2024-01-17T10:08:38Z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17BCF703F8DE4147BE0314B8460B4D33_11</vt:lpwstr>
  </property>
</Properties>
</file>