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方正小标宋_GBK"/>
          <w:color w:val="000000"/>
          <w:sz w:val="40"/>
          <w:szCs w:val="40"/>
        </w:rPr>
      </w:pPr>
      <w:r>
        <w:rPr>
          <w:rFonts w:hint="eastAsia" w:ascii="Times New Roman" w:hAnsi="Times New Roman" w:eastAsia="方正小标宋_GBK"/>
          <w:color w:val="000000"/>
          <w:sz w:val="40"/>
          <w:szCs w:val="40"/>
        </w:rPr>
        <w:t>文物保护单位原址保护措施审批</w:t>
      </w:r>
    </w:p>
    <w:p>
      <w:pPr>
        <w:pStyle w:val="2"/>
        <w:rPr>
          <w:rFonts w:hint="eastAsia"/>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文物保护单位原址保护措施审批【</w:t>
      </w:r>
      <w:r>
        <w:rPr>
          <w:rFonts w:hint="default" w:ascii="Times New Roman" w:hAnsi="Times New Roman" w:cs="Times New Roman"/>
          <w:sz w:val="32"/>
          <w:szCs w:val="32"/>
        </w:rPr>
        <w:t>00016810200Y</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县级文物保护单位原址保护措施审批【</w:t>
      </w:r>
      <w:r>
        <w:rPr>
          <w:rFonts w:hint="default" w:ascii="Times New Roman" w:hAnsi="Times New Roman" w:cs="Times New Roman"/>
          <w:sz w:val="32"/>
          <w:szCs w:val="32"/>
        </w:rPr>
        <w:t>000168102004</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（三）设定依据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仿宋_GBK"/>
          <w:color w:val="000000"/>
          <w:sz w:val="28"/>
          <w:szCs w:val="28"/>
        </w:rPr>
      </w:pPr>
      <w:r>
        <w:rPr>
          <w:rFonts w:hint="eastAsia" w:ascii="方正仿宋_GBK" w:hAnsi="方正仿宋_GBK" w:eastAsia="方正仿宋_GBK" w:cs="方正仿宋_GBK"/>
          <w:sz w:val="32"/>
          <w:szCs w:val="32"/>
          <w:lang w:eastAsia="zh-CN"/>
        </w:rPr>
        <w:t>《中华人民共和国文物保护法》第二十条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（四）实施依据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仿宋_GBK"/>
          <w:color w:val="000000"/>
          <w:sz w:val="28"/>
          <w:szCs w:val="28"/>
        </w:rPr>
      </w:pPr>
      <w:r>
        <w:rPr>
          <w:rFonts w:hint="eastAsia" w:ascii="方正仿宋_GBK" w:hAnsi="方正仿宋_GBK" w:eastAsia="方正仿宋_GBK" w:cs="方正仿宋_GBK"/>
          <w:sz w:val="32"/>
          <w:szCs w:val="32"/>
          <w:lang w:eastAsia="zh-CN"/>
        </w:rPr>
        <w:t>《中华人民共和国文物保护法》第二十条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（五）监管依据</w:t>
      </w:r>
    </w:p>
    <w:p>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《中华人民共和国文物保护法》第八条</w:t>
      </w:r>
    </w:p>
    <w:p>
      <w:pPr>
        <w:pStyle w:val="2"/>
        <w:numPr>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（六）</w:t>
      </w:r>
      <w:r>
        <w:rPr>
          <w:rFonts w:hint="eastAsia" w:ascii="方正楷体_GBK" w:hAnsi="方正楷体_GBK" w:eastAsia="方正楷体_GBK" w:cs="方正楷体_GBK"/>
          <w:b w:val="0"/>
          <w:bCs w:val="0"/>
          <w:strike w:val="0"/>
          <w:dstrike w:val="0"/>
          <w:color w:val="auto"/>
          <w:kern w:val="2"/>
          <w:sz w:val="32"/>
          <w:szCs w:val="32"/>
          <w:lang w:val="en-US" w:eastAsia="zh-CN" w:bidi="ar-SA"/>
        </w:rPr>
        <w:t>实施机关：</w:t>
      </w:r>
      <w:r>
        <w:rPr>
          <w:rFonts w:hint="eastAsia" w:ascii="方正仿宋_GBK" w:hAnsi="方正仿宋_GBK" w:eastAsia="方正仿宋_GBK" w:cs="方正仿宋_GBK"/>
          <w:kern w:val="2"/>
          <w:sz w:val="32"/>
          <w:szCs w:val="32"/>
          <w:lang w:val="en-US" w:eastAsia="zh-CN" w:bidi="ar-SA"/>
        </w:rPr>
        <w:t>永德县文化和旅游局</w:t>
      </w:r>
    </w:p>
    <w:p>
      <w:pPr>
        <w:numPr>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（九）</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文物保护单位原址保护措施审批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（十四）要素统一情况：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1.建设工程无法避让县级文物保护单位。</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2.建设工程已经批准。</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3.建设工程已编制设计方案。</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4.已编制保护文物安全及历史、自然环境的相关保护措施。</w:t>
      </w:r>
    </w:p>
    <w:p>
      <w:pPr>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sz w:val="32"/>
          <w:szCs w:val="32"/>
          <w:lang w:val="en-US" w:eastAsia="zh-CN"/>
        </w:rPr>
        <w:t>5.县级文物行政部门建议同意。</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《中华人民共和国文物保护法》第</w:t>
      </w:r>
      <w:r>
        <w:rPr>
          <w:rFonts w:hint="eastAsia" w:ascii="Times New Roman" w:hAnsi="Times New Roman" w:eastAsia="方正仿宋_GBK" w:cs="Times New Roman"/>
          <w:b w:val="0"/>
          <w:bCs w:val="0"/>
          <w:strike w:val="0"/>
          <w:dstrike w:val="0"/>
          <w:color w:val="auto"/>
          <w:sz w:val="32"/>
          <w:szCs w:val="32"/>
          <w:lang w:val="en-US" w:eastAsia="zh-CN"/>
        </w:rPr>
        <w:t>二十</w:t>
      </w:r>
      <w:r>
        <w:rPr>
          <w:rFonts w:hint="default" w:ascii="Times New Roman" w:hAnsi="Times New Roman" w:eastAsia="方正仿宋_GBK" w:cs="Times New Roman"/>
          <w:b w:val="0"/>
          <w:bCs w:val="0"/>
          <w:strike w:val="0"/>
          <w:dstrike w:val="0"/>
          <w:color w:val="auto"/>
          <w:sz w:val="32"/>
          <w:szCs w:val="32"/>
          <w:lang w:val="en-US" w:eastAsia="zh-CN"/>
        </w:rPr>
        <w:t>条建设工程选址，应当尽可能避开不可移动文物；因特殊情况不能避开的，对文物保护单位应当尽可能实施原址保护。实施原址保护的，建设单位应当事先确定保护措施，根据文物保护单位的级别报相应的文物行政部门批准</w:t>
      </w:r>
      <w:r>
        <w:rPr>
          <w:rFonts w:hint="eastAsia" w:ascii="Times New Roman" w:hAnsi="Times New Roman" w:eastAsia="方正仿宋_GBK" w:cs="Times New Roman"/>
          <w:b w:val="0"/>
          <w:bCs w:val="0"/>
          <w:strike w:val="0"/>
          <w:dstrike w:val="0"/>
          <w:color w:val="auto"/>
          <w:sz w:val="32"/>
          <w:szCs w:val="32"/>
          <w:lang w:val="en-US" w:eastAsia="zh-CN"/>
        </w:rPr>
        <w:t>。</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w:t>
      </w:r>
      <w:r>
        <w:rPr>
          <w:rFonts w:hint="eastAsia" w:ascii="Times New Roman" w:hAnsi="Times New Roman" w:eastAsia="方正仿宋_GBK" w:cs="Times New Roman"/>
          <w:sz w:val="32"/>
          <w:szCs w:val="32"/>
          <w:lang w:val="en-US" w:eastAsia="zh-CN"/>
        </w:rPr>
        <w:t>自然人，企业法人，事业单位法人，社会组织法人，其他组织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将承诺审批时限由20个工作日压减至1</w:t>
      </w:r>
      <w:r>
        <w:rPr>
          <w:rFonts w:hint="eastAsia"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指导和要求县级文物行政部门委派专人或专业单位进行工程全程监管，开展工程检查，督促项目管理单位和方案设计单位加强施工全过程指导，督促项目施工单位严格遵守文物保护工程相关法律法规、标准规范要求，做好施工组织管理，主动接受社会监督，确保工程质量和文物、人员安全；</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rPr>
        <w:t>指导和要求县级文物行政部门切实加强管理，督促、指导相关单位做好保护工程竣工后相关文物的日常养护工作，及时发现和排除隐患，确保文物安全。</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申请书，内容包括：建设单位名称及法人登记证明；建设工程名称、地点、规模；文物名称；保护措施名称、主要内容；建设项目无法避让文物保护单位的理由。</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rPr>
        <w:t>建设工程选址批准文件。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rPr>
        <w:t>有关保护措施的具体方案，包括文字说明、图纸、专家论证意见。</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中华人民共和国文物保护法》第二十条建设工程选址，应当尽可能避开不可移动文物；因特殊情况不能避开的，对文物保护单位应当尽可能实施原址保护。实施原址保护的，建设单位应当事先确定保护措施，根据文物保护单位的级别报相应的文物行政部门批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方正仿宋_GBK"/>
          <w:color w:val="000000"/>
          <w:sz w:val="28"/>
          <w:szCs w:val="28"/>
        </w:rPr>
      </w:pP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rPr>
        <w:t>《国家文物局行政许可服务指南》（</w:t>
      </w: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）申请书，内容包括：建设单位名称及法人登记证明；建设工程名称、地点、规模；文物名称；保护措施名称、主要内容；建设项目无法避让文物保护单位的理由</w:t>
      </w: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w:t>
      </w: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rPr>
        <w:t>）建设工程选址批准文件。（</w:t>
      </w:r>
      <w:r>
        <w:rPr>
          <w:rFonts w:hint="eastAsia"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rPr>
        <w:t>）有关保护措施的具体方案，包括文字说明、图纸、专家论证意见。（</w:t>
      </w:r>
      <w:r>
        <w:rPr>
          <w:rFonts w:hint="eastAsia"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rPr>
        <w:t>）省级文物行政部门意见。</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pPr>
        <w:spacing w:line="600" w:lineRule="exact"/>
        <w:ind w:firstLine="56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1.</w:t>
      </w:r>
      <w:r>
        <w:rPr>
          <w:rFonts w:hint="default" w:ascii="Times New Roman" w:hAnsi="Times New Roman" w:eastAsia="方正仿宋_GBK" w:cs="Times New Roman"/>
          <w:b w:val="0"/>
          <w:bCs w:val="0"/>
          <w:strike w:val="0"/>
          <w:dstrike w:val="0"/>
          <w:color w:val="auto"/>
          <w:kern w:val="2"/>
          <w:sz w:val="32"/>
          <w:szCs w:val="32"/>
          <w:lang w:val="en-US" w:eastAsia="zh-CN" w:bidi="ar-SA"/>
        </w:rPr>
        <w:t>项目建设单位向县级</w:t>
      </w:r>
      <w:r>
        <w:rPr>
          <w:rFonts w:hint="eastAsia" w:ascii="Times New Roman" w:hAnsi="Times New Roman" w:eastAsia="方正仿宋_GBK" w:cs="Times New Roman"/>
          <w:b w:val="0"/>
          <w:bCs w:val="0"/>
          <w:strike w:val="0"/>
          <w:dstrike w:val="0"/>
          <w:color w:val="auto"/>
          <w:kern w:val="2"/>
          <w:sz w:val="32"/>
          <w:szCs w:val="32"/>
          <w:lang w:val="en-US" w:eastAsia="zh-CN" w:bidi="ar-SA"/>
        </w:rPr>
        <w:t>文化和旅游</w:t>
      </w:r>
      <w:r>
        <w:rPr>
          <w:rFonts w:hint="default" w:ascii="Times New Roman" w:hAnsi="Times New Roman" w:eastAsia="方正仿宋_GBK" w:cs="Times New Roman"/>
          <w:b w:val="0"/>
          <w:bCs w:val="0"/>
          <w:strike w:val="0"/>
          <w:dstrike w:val="0"/>
          <w:color w:val="auto"/>
          <w:kern w:val="2"/>
          <w:sz w:val="32"/>
          <w:szCs w:val="32"/>
          <w:lang w:val="en-US" w:eastAsia="zh-CN" w:bidi="ar-SA"/>
        </w:rPr>
        <w:t>行政部门提交申请材料。</w:t>
      </w:r>
    </w:p>
    <w:p>
      <w:pPr>
        <w:spacing w:line="600" w:lineRule="exact"/>
        <w:ind w:firstLine="56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2.</w:t>
      </w:r>
      <w:r>
        <w:rPr>
          <w:rFonts w:hint="default" w:ascii="Times New Roman" w:hAnsi="Times New Roman" w:eastAsia="方正仿宋_GBK" w:cs="Times New Roman"/>
          <w:b w:val="0"/>
          <w:bCs w:val="0"/>
          <w:strike w:val="0"/>
          <w:dstrike w:val="0"/>
          <w:color w:val="auto"/>
          <w:kern w:val="2"/>
          <w:sz w:val="32"/>
          <w:szCs w:val="32"/>
          <w:lang w:val="en-US" w:eastAsia="zh-CN" w:bidi="ar-SA"/>
        </w:rPr>
        <w:t>按照规定的受理、审查、决议、告知、送达、信息公开等程序办理。</w:t>
      </w:r>
    </w:p>
    <w:p>
      <w:pPr>
        <w:spacing w:line="600" w:lineRule="exact"/>
        <w:ind w:firstLine="56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3.</w:t>
      </w:r>
      <w:r>
        <w:rPr>
          <w:rFonts w:hint="default" w:ascii="Times New Roman" w:hAnsi="Times New Roman" w:eastAsia="方正仿宋_GBK" w:cs="Times New Roman"/>
          <w:b w:val="0"/>
          <w:bCs w:val="0"/>
          <w:strike w:val="0"/>
          <w:dstrike w:val="0"/>
          <w:color w:val="auto"/>
          <w:kern w:val="2"/>
          <w:sz w:val="32"/>
          <w:szCs w:val="32"/>
          <w:lang w:val="en-US" w:eastAsia="zh-CN" w:bidi="ar-SA"/>
        </w:rPr>
        <w:t>组织专业机构或者专家评审，必要时组织实地核查。</w:t>
      </w:r>
    </w:p>
    <w:p>
      <w:pPr>
        <w:numPr>
          <w:ilvl w:val="0"/>
          <w:numId w:val="0"/>
        </w:numPr>
        <w:spacing w:line="600" w:lineRule="exact"/>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1.《中华人民共和国文物保护法》第二十条建设工程选址，应当尽可能避开不可移动文物；因特殊情况不能避开的，对文物保护单位应当尽可能实施原址保护。实施原址保护的，建设单位应当事先确定保护措施，根据文物保护单位的级别报相应的文物行政部门批准。</w:t>
      </w:r>
    </w:p>
    <w:p>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2.《国家文物局行政许可服务指南》（1）项目建设单位向省级文物行政部门提交申请材料。</w:t>
      </w:r>
    </w:p>
    <w:p>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（2）按照规定的受理、审查、决议、告知、送达、信息公开等程序办理。</w:t>
      </w:r>
    </w:p>
    <w:p>
      <w:pPr>
        <w:spacing w:line="600" w:lineRule="exact"/>
        <w:ind w:firstLine="560"/>
        <w:rPr>
          <w:rFonts w:ascii="Times New Roman" w:hAnsi="Times New Roman" w:eastAsia="方正仿宋_GBK"/>
          <w:color w:val="000000"/>
          <w:sz w:val="28"/>
          <w:szCs w:val="28"/>
        </w:rPr>
      </w:pPr>
      <w:r>
        <w:rPr>
          <w:rFonts w:hint="eastAsia" w:ascii="Times New Roman" w:hAnsi="Times New Roman" w:eastAsia="方正仿宋_GBK" w:cs="Times New Roman"/>
          <w:b w:val="0"/>
          <w:bCs w:val="0"/>
          <w:strike w:val="0"/>
          <w:dstrike w:val="0"/>
          <w:color w:val="auto"/>
          <w:kern w:val="2"/>
          <w:sz w:val="32"/>
          <w:szCs w:val="32"/>
          <w:lang w:val="en-US" w:eastAsia="zh-CN" w:bidi="ar-SA"/>
        </w:rPr>
        <w:t>（3）组织专业机构或者专家评审，必要时组织实地核查。</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是否需要现场勘验</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是否需要组织听证</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是否需要招标、拍卖、挂牌交易</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w:t>
      </w:r>
      <w:r>
        <w:rPr>
          <w:rFonts w:hint="default" w:ascii="楷体" w:hAnsi="楷体" w:eastAsia="楷体" w:cs="楷体"/>
          <w:b w:val="0"/>
          <w:bCs w:val="0"/>
          <w:strike w:val="0"/>
          <w:dstrike w:val="0"/>
          <w:color w:val="auto"/>
          <w:sz w:val="32"/>
          <w:szCs w:val="32"/>
          <w:lang w:val="en-US" w:eastAsia="zh-CN"/>
        </w:rPr>
        <w:t>是否需要检验、检测、检疫</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w:t>
      </w:r>
      <w:r>
        <w:rPr>
          <w:rFonts w:hint="default" w:ascii="楷体" w:hAnsi="楷体" w:eastAsia="楷体" w:cs="楷体"/>
          <w:b w:val="0"/>
          <w:bCs w:val="0"/>
          <w:strike w:val="0"/>
          <w:dstrike w:val="0"/>
          <w:color w:val="auto"/>
          <w:sz w:val="32"/>
          <w:szCs w:val="32"/>
          <w:lang w:val="en-US" w:eastAsia="zh-CN"/>
        </w:rPr>
        <w:t>是否需要鉴定</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w:t>
      </w:r>
      <w:r>
        <w:rPr>
          <w:rFonts w:hint="default" w:ascii="楷体" w:hAnsi="楷体" w:eastAsia="楷体" w:cs="楷体"/>
          <w:b w:val="0"/>
          <w:bCs w:val="0"/>
          <w:strike w:val="0"/>
          <w:dstrike w:val="0"/>
          <w:color w:val="auto"/>
          <w:sz w:val="32"/>
          <w:szCs w:val="32"/>
          <w:lang w:val="en-US" w:eastAsia="zh-CN"/>
        </w:rPr>
        <w:t>是否需要专家评审</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w:t>
      </w:r>
      <w:r>
        <w:rPr>
          <w:rFonts w:hint="default" w:ascii="楷体" w:hAnsi="楷体" w:eastAsia="楷体" w:cs="楷体"/>
          <w:b w:val="0"/>
          <w:bCs w:val="0"/>
          <w:strike w:val="0"/>
          <w:dstrike w:val="0"/>
          <w:color w:val="auto"/>
          <w:sz w:val="32"/>
          <w:szCs w:val="32"/>
          <w:lang w:val="en-US" w:eastAsia="zh-CN"/>
        </w:rPr>
        <w:t>是否需要向社会公示</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w:t>
      </w:r>
      <w:r>
        <w:rPr>
          <w:rFonts w:hint="default" w:ascii="楷体" w:hAnsi="楷体" w:eastAsia="楷体" w:cs="楷体"/>
          <w:b w:val="0"/>
          <w:bCs w:val="0"/>
          <w:strike w:val="0"/>
          <w:dstrike w:val="0"/>
          <w:color w:val="auto"/>
          <w:sz w:val="32"/>
          <w:szCs w:val="32"/>
          <w:lang w:val="en-US" w:eastAsia="zh-CN"/>
        </w:rPr>
        <w:t>是否实行告知承诺办理</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（十一）审批机关是否委托服务机构开展技术性服务：</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default" w:ascii="Times New Roman" w:hAnsi="Times New Roman" w:eastAsia="方正仿宋_GBK" w:cs="Times New Roman"/>
          <w:b w:val="0"/>
          <w:bCs w:val="0"/>
          <w:strike w:val="0"/>
          <w:dstrike w:val="0"/>
          <w:color w:val="auto"/>
          <w:kern w:val="2"/>
          <w:sz w:val="32"/>
          <w:szCs w:val="32"/>
          <w:lang w:val="en-US" w:eastAsia="zh-CN" w:bidi="ar-SA"/>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楷体" w:hAnsi="楷体" w:eastAsia="楷体" w:cs="楷体"/>
          <w:b w:val="0"/>
          <w:bCs w:val="0"/>
          <w:strike w:val="0"/>
          <w:dstrike w:val="0"/>
          <w:color w:val="auto"/>
          <w:sz w:val="32"/>
          <w:szCs w:val="32"/>
          <w:lang w:val="en-US" w:eastAsia="zh-CN"/>
        </w:rPr>
        <w:t>（三）规定法定审批时限依据：</w:t>
      </w:r>
      <w:r>
        <w:rPr>
          <w:rFonts w:hint="eastAsia" w:ascii="方正仿宋_GBK" w:hAnsi="方正仿宋_GBK" w:eastAsia="方正仿宋_GBK" w:cs="方正仿宋_GBK"/>
          <w:b w:val="0"/>
          <w:bCs w:val="0"/>
          <w:strike w:val="0"/>
          <w:dstrike w:val="0"/>
          <w:color w:val="auto"/>
          <w:kern w:val="2"/>
          <w:sz w:val="32"/>
          <w:szCs w:val="32"/>
          <w:lang w:val="en-US" w:eastAsia="zh-CN" w:bidi="ar-SA"/>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（四）承诺审批时限：</w:t>
      </w:r>
      <w:r>
        <w:rPr>
          <w:rFonts w:hint="eastAsia" w:ascii="Times New Roman" w:hAnsi="Times New Roman" w:eastAsia="楷体" w:cs="Times New Roman"/>
          <w:b w:val="0"/>
          <w:bCs w:val="0"/>
          <w:strike w:val="0"/>
          <w:dstrike w:val="0"/>
          <w:color w:val="auto"/>
          <w:sz w:val="32"/>
          <w:szCs w:val="32"/>
          <w:lang w:val="en-US" w:eastAsia="zh-CN"/>
        </w:rPr>
        <w:t>13</w:t>
      </w:r>
      <w:r>
        <w:rPr>
          <w:rFonts w:hint="eastAsia" w:ascii="方正仿宋_GBK" w:hAnsi="方正仿宋_GBK" w:eastAsia="方正仿宋_GBK" w:cs="方正仿宋_GBK"/>
          <w:b w:val="0"/>
          <w:bCs w:val="0"/>
          <w:strike w:val="0"/>
          <w:dstrike w:val="0"/>
          <w:color w:val="auto"/>
          <w:sz w:val="32"/>
          <w:szCs w:val="32"/>
          <w:lang w:val="en-US" w:eastAsia="zh-CN"/>
        </w:rPr>
        <w:t>个工作日，</w:t>
      </w:r>
      <w:r>
        <w:rPr>
          <w:rFonts w:hint="eastAsia" w:ascii="方正仿宋_GBK" w:hAnsi="方正仿宋_GBK" w:eastAsia="方正仿宋_GBK" w:cs="方正仿宋_GBK"/>
          <w:b w:val="0"/>
          <w:bCs w:val="0"/>
          <w:strike w:val="0"/>
          <w:dstrike w:val="0"/>
          <w:color w:val="auto"/>
          <w:kern w:val="2"/>
          <w:sz w:val="32"/>
          <w:szCs w:val="32"/>
          <w:lang w:val="en-US" w:eastAsia="zh-CN" w:bidi="ar-SA"/>
        </w:rPr>
        <w:t>依法进行评估、专家评审另需时间不计算在该时限。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批文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许可决定</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当次</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r>
        <w:rPr>
          <w:rFonts w:hint="eastAsia" w:ascii="方正仿宋_GBK" w:hAnsi="方正仿宋_GBK" w:eastAsia="方正仿宋_GBK" w:cs="方正仿宋_GBK"/>
          <w:b w:val="0"/>
          <w:bCs w:val="0"/>
          <w:strike w:val="0"/>
          <w:dstrike w:val="0"/>
          <w:color w:val="auto"/>
          <w:sz w:val="32"/>
          <w:szCs w:val="32"/>
          <w:lang w:val="en-US" w:eastAsia="zh-CN"/>
        </w:rPr>
        <w:t>《中华人民共和国文物保护法》第二十条建设工程选址，应当尽可能避开不可移动文物；因特殊情况不能避开的，对文物保护单位应当尽可能实施原址保护。实施原址保护的，建设单位应当事先确定保护措施，根据文物保护单位的级别报相应的文物行政部门批准。</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《中华人民共和国文物保护法》</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县级文化和旅游行政部门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p>
      <w:pPr>
        <w:rPr>
          <w:rFonts w:hint="eastAsia" w:ascii="方正仿宋_GBK" w:hAnsi="方正仿宋_GBK" w:eastAsia="方正仿宋_GBK" w:cs="方正仿宋_GBK"/>
          <w:sz w:val="32"/>
          <w:szCs w:val="32"/>
          <w:lang w:eastAsia="zh-CN"/>
        </w:rPr>
      </w:pPr>
    </w:p>
    <w:p>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33D07EB7"/>
    <w:rsid w:val="33D07E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2"/>
    <w:basedOn w:val="1"/>
    <w:next w:val="1"/>
    <w:autoRedefine/>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2024-01-17T00:44:00Z</dcterms:created>
  <dc:creator>未定义</dc:creator>
  <cp:lastModifiedBy>未定义</cp:lastModifiedBy>
  <dcterms:modified xsi:type="dcterms:W3CDTF">2024-01-17T03:45:06Z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95282504678440758ABFE9B7628DB445_11</vt:lpwstr>
  </property>
</Properties>
</file>